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300"/>
        <w:rPr/>
      </w:pPr>
      <w:r>
        <w:rPr/>
        <w:commentReference w:id="0"/>
      </w:r>
      <w:r>
        <w:rPr/>
        <w:commentReference w:id="1"/>
      </w:r>
      <w:r>
        <w:rPr/>
        <w:t>Титульний аркуш Повідомлення</w:t>
        <w:br/>
        <w:t>(Повідомлення про інформацію)</w:t>
      </w:r>
    </w:p>
    <w:tbl>
      <w:tblPr>
        <w:tblW w:w="1020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>
      <w:pPr>
        <w:pStyle w:val="Style13"/>
        <w:spacing w:before="0" w:after="0"/>
        <w:rPr/>
      </w:pPr>
      <w:r>
        <w:rPr/>
      </w:r>
    </w:p>
    <w:tbl>
      <w:tblPr>
        <w:tblW w:w="527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1"/>
        <w:gridCol w:w="146"/>
        <w:gridCol w:w="796"/>
        <w:gridCol w:w="146"/>
        <w:gridCol w:w="3076"/>
      </w:tblGrid>
      <w:tr>
        <w:trPr/>
        <w:tc>
          <w:tcPr>
            <w:tcW w:w="111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Директор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3076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Позовiков Євгенiй Iванович</w:t>
            </w:r>
          </w:p>
        </w:tc>
      </w:tr>
      <w:tr>
        <w:trPr/>
        <w:tc>
          <w:tcPr>
            <w:tcW w:w="1111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(посада)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796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3076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(прізвище та ініціали керівника)</w:t>
            </w:r>
          </w:p>
        </w:tc>
      </w:tr>
      <w:tr>
        <w:trPr/>
        <w:tc>
          <w:tcPr>
            <w:tcW w:w="1111" w:type="dxa"/>
            <w:vMerge w:val="restart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" w:type="dxa"/>
            <w:vMerge w:val="restart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6" w:type="dxa"/>
            <w:vMerge w:val="restart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М.П.</w:t>
            </w:r>
          </w:p>
        </w:tc>
        <w:tc>
          <w:tcPr>
            <w:tcW w:w="146" w:type="dxa"/>
            <w:vMerge w:val="restart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76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18.07.2019</w:t>
            </w:r>
          </w:p>
        </w:tc>
      </w:tr>
      <w:tr>
        <w:trPr/>
        <w:tc>
          <w:tcPr>
            <w:tcW w:w="1111" w:type="dxa"/>
            <w:vMerge w:val="continue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" w:type="dxa"/>
            <w:vMerge w:val="continue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6" w:type="dxa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" w:type="dxa"/>
            <w:vMerge w:val="continue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76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Style13"/>
        <w:rPr/>
      </w:pPr>
      <w:r>
        <w:rPr/>
      </w:r>
    </w:p>
    <w:p>
      <w:pPr>
        <w:pStyle w:val="4"/>
        <w:rPr/>
      </w:pPr>
      <w:r>
        <w:rPr/>
        <w:t>Особлива інформація (інформація про іпотечні цінні папери, сертифікати фонду операцій з нерухомістю) емітента</w:t>
      </w:r>
    </w:p>
    <w:p>
      <w:pPr>
        <w:pStyle w:val="4"/>
        <w:rPr/>
      </w:pPr>
      <w:r>
        <w:rPr/>
        <w:t>I. Загальні відомості</w:t>
      </w:r>
    </w:p>
    <w:tbl>
      <w:tblPr>
        <w:tblW w:w="1020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1. Повне найменування емітента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rPr>
                <w:i/>
              </w:rPr>
            </w:pPr>
            <w:r>
              <w:rPr>
                <w:i/>
              </w:rPr>
              <w:t>ПРИВАТНЕ АКЦIОНЕРНЕ ТОВАРИСТВО "БIЛОВОДСЬКИЙ КОМБIНАТ ХЛIБОПРОДУКТIВ"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2. Організаційно-правова форма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 xml:space="preserve">Акціонерне товариство 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3. Місцезнаходження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42065, Сумська область, Роменський район, с. Бiловод, вул. Бiловодська, буд. 2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4. Ідентифікаційний код юридичної особи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00955851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5. Міжміський код та телефон, факс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0544893808 0544893808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6. Електронна поштова адреса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s.hryn@kernel.ua</w:t>
            </w:r>
          </w:p>
        </w:tc>
      </w:tr>
    </w:tbl>
    <w:p>
      <w:pPr>
        <w:pStyle w:val="Style13"/>
        <w:rPr/>
      </w:pPr>
      <w:r>
        <w:rPr/>
      </w:r>
    </w:p>
    <w:p>
      <w:pPr>
        <w:pStyle w:val="4"/>
        <w:rPr/>
      </w:pPr>
      <w:r>
        <w:rPr/>
        <w:t>II. Дані про дату та місце оприлюднення Повідомлення (Повідомлення про інформацію)</w:t>
      </w:r>
    </w:p>
    <w:tbl>
      <w:tblPr>
        <w:tblW w:w="1020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049"/>
        <w:gridCol w:w="2725"/>
        <w:gridCol w:w="2198"/>
        <w:gridCol w:w="1233"/>
      </w:tblGrid>
      <w:tr>
        <w:trPr/>
        <w:tc>
          <w:tcPr>
            <w:tcW w:w="8972" w:type="dxa"/>
            <w:gridSpan w:val="3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972" w:type="dxa"/>
            <w:gridSpan w:val="3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3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>
        <w:trPr/>
        <w:tc>
          <w:tcPr>
            <w:tcW w:w="4049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2. Повідомлення опубліковано у*</w:t>
            </w:r>
          </w:p>
        </w:tc>
        <w:tc>
          <w:tcPr>
            <w:tcW w:w="4923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23" w:type="dxa"/>
            <w:gridSpan w:val="2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(номер та найменування офіційного друкованого видання)</w:t>
            </w:r>
          </w:p>
        </w:tc>
        <w:tc>
          <w:tcPr>
            <w:tcW w:w="1233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>
        <w:trPr/>
        <w:tc>
          <w:tcPr>
            <w:tcW w:w="4049" w:type="dxa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3. Повідомлення розміщено на сторінці</w:t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http://bilovodkhp.pat.ua</w:t>
            </w:r>
          </w:p>
        </w:tc>
        <w:tc>
          <w:tcPr>
            <w:tcW w:w="2198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в мережі Інтернет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18.07.2019</w:t>
            </w:r>
          </w:p>
        </w:tc>
      </w:tr>
      <w:tr>
        <w:trPr/>
        <w:tc>
          <w:tcPr>
            <w:tcW w:w="4049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25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(адреса сторінки)</w:t>
            </w:r>
          </w:p>
        </w:tc>
        <w:tc>
          <w:tcPr>
            <w:tcW w:w="2198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3" w:type="dxa"/>
            <w:tcBorders>
              <w:top w:val="single" w:sz="2" w:space="0" w:color="CCCCCC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3"/>
        <w:rPr/>
      </w:pPr>
      <w:r>
        <w:br w:type="page"/>
      </w:r>
      <w:r>
        <w:rPr/>
        <w:commentReference w:id="2"/>
      </w:r>
      <w:r>
        <w:rPr/>
        <w:commentReference w:id="3"/>
      </w:r>
      <w:r>
        <w:rPr/>
        <w:commentReference w:id="4"/>
      </w:r>
      <w:r>
        <w:rPr/>
        <w:commentReference w:id="5"/>
      </w:r>
      <w:r>
        <w:rPr/>
        <w:commentReference w:id="6"/>
      </w:r>
      <w:r>
        <w:rPr/>
        <w:commentReference w:id="7"/>
      </w:r>
      <w:r>
        <w:rPr/>
        <w:commentReference w:id="8"/>
      </w:r>
      <w:r>
        <w:rPr/>
        <w:commentReference w:id="9"/>
      </w:r>
      <w:r>
        <w:rPr/>
        <w:commentReference w:id="10"/>
      </w:r>
      <w:r>
        <w:rPr/>
        <w:commentReference w:id="11"/>
      </w:r>
      <w:r>
        <w:rPr/>
        <w:commentReference w:id="12"/>
      </w:r>
      <w:r>
        <w:rPr/>
        <w:commentReference w:id="13"/>
      </w:r>
      <w:r>
        <w:rPr/>
        <w:commentReference w:id="14"/>
      </w:r>
      <w:r>
        <w:rPr/>
        <w:commentReference w:id="15"/>
      </w:r>
      <w:r>
        <w:rPr/>
        <w:commentReference w:id="16"/>
      </w:r>
      <w:r>
        <w:rPr/>
        <w:commentReference w:id="17"/>
      </w:r>
      <w:r>
        <w:rPr/>
        <w:commentReference w:id="18"/>
      </w:r>
      <w:r>
        <w:rPr/>
        <w:commentReference w:id="19"/>
      </w:r>
      <w:r>
        <w:rPr/>
        <w:commentReference w:id="20"/>
      </w:r>
      <w:r>
        <w:rPr/>
        <w:commentReference w:id="21"/>
      </w:r>
      <w:r>
        <w:rPr/>
        <w:commentReference w:id="22"/>
      </w:r>
      <w:r>
        <w:rPr/>
        <w:commentReference w:id="23"/>
      </w:r>
      <w:r>
        <w:rPr/>
        <w:commentReference w:id="24"/>
      </w:r>
      <w:r>
        <w:rPr/>
        <w:commentReference w:id="25"/>
      </w:r>
      <w:r>
        <w:rPr/>
        <w:commentReference w:id="26"/>
      </w:r>
      <w:r>
        <w:rPr/>
        <w:commentReference w:id="27"/>
      </w:r>
      <w:r>
        <w:rPr/>
        <w:commentReference w:id="28"/>
      </w:r>
      <w:r>
        <w:rPr/>
        <w:commentReference w:id="29"/>
      </w:r>
      <w:r>
        <w:rPr/>
        <w:commentReference w:id="30"/>
      </w:r>
      <w:r>
        <w:rPr/>
        <w:commentReference w:id="31"/>
      </w:r>
      <w:r>
        <w:rPr/>
        <w:commentReference w:id="32"/>
      </w:r>
      <w:r>
        <w:rPr/>
        <w:commentReference w:id="33"/>
      </w:r>
      <w:r>
        <w:rPr/>
        <w:commentReference w:id="34"/>
      </w:r>
      <w:r>
        <w:rPr/>
        <w:t>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контрольного пакета у розмірі 50 і більше відсотків простих акцій акціонерного товариства / 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значного контрольного пакета у розмірі 75 і більше відсотків простих акцій публічного акціонерного товариства / 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домінуючого контрольного пакета у розмірі 95 і більше відсотків простих акцій акціонерного товариства</w:t>
      </w:r>
    </w:p>
    <w:tbl>
      <w:tblPr>
        <w:tblW w:w="10327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1"/>
        <w:gridCol w:w="1606"/>
        <w:gridCol w:w="1816"/>
        <w:gridCol w:w="1681"/>
        <w:gridCol w:w="2026"/>
        <w:gridCol w:w="1291"/>
        <w:gridCol w:w="1336"/>
      </w:tblGrid>
      <w:tr>
        <w:trPr>
          <w:tblHeader w:val="true"/>
        </w:trPr>
        <w:tc>
          <w:tcPr>
            <w:tcW w:w="57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Дата повідомлення емітента особою, що здійснює облік права власності на акції в депозитарній системі, або акціонером (власником)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Ознака типу відомостей про набуття прямо або опосередковано особою (особами, що діють спільно) з урахуванням кількості акцій, які належать їй та її афілійованим особам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Повне найменування юридичної особи - власника (власників) або прізвище, імя, по батькові (за наявності) - фізичної особи -власника (власників) пакета акцій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Ідентифікаційний код згідно з Єдиним державним реєстром юридичних осіб, фізичних осіб - підприємців та громадських формувань (для юридичної особи – резидента),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(для юридичної особи – нерезидента)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Розмір частки акціонера (власника) до зміни (у відсотках до статутного капіталу)</w:t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Розмір частки акціонера (власника) після зміни (у відсотках до статутного капіталу)</w:t>
            </w:r>
          </w:p>
        </w:tc>
      </w:tr>
      <w:tr>
        <w:trPr>
          <w:tblHeader w:val="true"/>
        </w:trPr>
        <w:tc>
          <w:tcPr>
            <w:tcW w:w="57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</w:tr>
      <w:tr>
        <w:trPr/>
        <w:tc>
          <w:tcPr>
            <w:tcW w:w="571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1</w:t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06.03.2019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50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KERNEL HOLDING S.A.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B 109173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91.117339</w:t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91.117339</w:t>
            </w:r>
          </w:p>
        </w:tc>
      </w:tr>
      <w:tr>
        <w:trPr/>
        <w:tc>
          <w:tcPr>
            <w:tcW w:w="10327" w:type="dxa"/>
            <w:gridSpan w:val="7"/>
            <w:tcBorders/>
            <w:shd w:fill="auto" w:val="clear"/>
            <w:vAlign w:val="center"/>
          </w:tcPr>
          <w:p>
            <w:pPr>
              <w:pStyle w:val="Style18"/>
              <w:ind w:left="0" w:right="0" w:firstLine="200"/>
              <w:jc w:val="left"/>
              <w:rPr/>
            </w:pPr>
            <w:r>
              <w:rPr/>
              <w:t>Зміст інформації:</w:t>
            </w:r>
          </w:p>
        </w:tc>
      </w:tr>
      <w:tr>
        <w:trPr/>
        <w:tc>
          <w:tcPr>
            <w:tcW w:w="10327" w:type="dxa"/>
            <w:gridSpan w:val="7"/>
            <w:tcBorders/>
            <w:shd w:fill="auto" w:val="clear"/>
            <w:vAlign w:val="center"/>
          </w:tcPr>
          <w:p>
            <w:pPr>
              <w:pStyle w:val="Style17"/>
              <w:jc w:val="left"/>
              <w:rPr/>
            </w:pPr>
            <w:r>
              <w:rPr/>
              <w:t>Дата отримання Приватним акцiонерним товариством “Бiловодський комбiнат хлiбопродуктiв” (надалi - емiтент) iнформацiї вiд Центрального депозитарiю цiнних паперiв : 06.03.2019 (дата отримання емiтентом на власний запит вiд Публiчного акцiонерного товариства «Нацiональний депозитарiй України» перелiку акцiонерiв, якi мають право на участь у загальних зборах акцiонерного товариства).</w:t>
              <w:br/>
              <w:t xml:space="preserve">Iнформацiя про найвищу цiну придбання акцiй емiтента протягом 12 мiсяцiв, що передують дню набуття пакета акцiй включно з днем набуття, та дата набуття пакета акцiй - не зазначається, оскiльки iнформацiя надiйшла вiд особи, яка здiйснює облiк права власностi на акцiї емiтента у депозитарнiй системi України у виглядi перелiку акцiонерiв, якi мають право на участь у загальних зборах акцiонерного товариства. </w:t>
              <w:br/>
              <w:t>Найменування юридичної особи - власника пакета акцiй : KERNEL HOLDING S.A.</w:t>
              <w:br/>
              <w:t>Код/номер юридичної особи - нерезидента з торговельного, банкiвського чи судового реєстру, реєстрацiйного посвiдчення мiсцевого органу влади iноземної держави про реєстрацiю юридичної особи - B 109173.</w:t>
              <w:br/>
              <w:t>Розмiр частки, яка прямо або опосередковано належить юридичнiй особi KERNEL HOLDING S.A. з урахуванням кiлькостi акцiй, якi належать їй та її афiлiйованим особам в загальнiй кiлькостi акцiй емiтента :</w:t>
              <w:br/>
              <w:t>- до набуття права власностi на пакет акцiй - 91.117339%;</w:t>
              <w:br/>
              <w:t>- пiсля набуття права власностi на пакет акцiй - 91.117339%;</w:t>
              <w:br/>
              <w:t>та в загальнiй кiлькостi голосуючих акцiй емiтента до набуття права власностi на пакет акцiй - 98,199345%;</w:t>
              <w:br/>
              <w:t>- пiсля набуття права власностi на пакет акцiй - 98,199345%;</w:t>
              <w:br/>
              <w:t>Iнформацiя про прiзвище, iм’я, по батьковi/найменування юридичної особи, визначеної особами, що дiють спiльно, вiдповiдальної за реалiзацiю норм, передбачених статтями 65-65-1 Закону України «Про акцiонернi товариства» - не надається, оскiльки положення статтi 65 не поширюються на юридичну особу KERNEL HOLDING S.A., яка на дату укладення договору вже є власником контрольного пакета акцiй з урахуванням кiлькостi акцiй, що належать їй та/або її афiлiйованим особам (п.9.1 ст.65 Закону України «Про акцiонернi товариства»).</w:t>
            </w:r>
          </w:p>
        </w:tc>
      </w:tr>
    </w:tbl>
    <w:p>
      <w:pPr>
        <w:pStyle w:val="Style13"/>
        <w:spacing w:lineRule="auto" w:line="276" w:before="0" w:after="140"/>
        <w:rPr/>
      </w:pPr>
      <w:r>
        <w:rPr/>
        <w:commentReference w:id="35"/>
      </w:r>
      <w:r>
        <w:rPr/>
        <w:commentReference w:id="36"/>
      </w:r>
      <w:r>
        <w:rPr/>
        <w:commentReference w:id="37"/>
      </w:r>
      <w:r>
        <w:rPr/>
        <w:commentReference w:id="38"/>
      </w:r>
      <w:r>
        <w:rPr/>
        <w:commentReference w:id="39"/>
      </w:r>
      <w:r>
        <w:rPr/>
        <w:commentReference w:id="40"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19-07-18T12:26:50Z" w:initials="">
    <w:p>
      <w:r>
        <w:t>&lt;!--[if gte mso 9]&gt;&lt;xml&gt;  &lt;w:WordDocument&gt;   &lt;w:View&gt;Print&lt;/w:View&gt;   &lt;w:Zoom&gt;90&lt;/w:Zoom&gt;   &lt;w:SpellingState&gt;Clean&lt;/w:SpellingState&gt;   &lt;w:GrammarState&gt;Clean&lt;/w:GrammarState&gt;   &lt;w:PunctuationKerning/&gt;   &lt;w:ValidateAgainstSchemas/&gt;   &lt;w:SaveIfXMLInvalid&gt;false&lt;/w:SaveIfXMLInvalid&gt;   &lt;w:IgnoreMixedContent&gt;false&lt;/w:IgnoreMixedContent&gt;   &lt;w:AlwaysShowPlaceholderText&gt;false&lt;/w:AlwaysShowPlaceholderText&gt;   &lt;w:Compatibility&gt;    &lt;w:BreakWrappedTables/&gt;    &lt;w:SnapToGridInCell/&gt;    &lt;w:WrapTextWithPunct/&gt;    &lt;w:UseAsianBreakRules/&gt;    &lt;w:DontGrowAutofit/&gt;   &lt;/w:Compatibility&gt;   &lt;w:BrowserLevel&gt;MicrosoftInternetExplorer4&lt;/w:BrowserLevel&gt;  &lt;/w:WordDocument&gt; &lt;/xml&gt;&lt;![endif]--&gt;</w:t>
      </w:r>
    </w:p>
  </w:comment>
  <w:comment w:id="1" w:author="" w:date="2019-07-18T12:26:50Z" w:initials="">
    <w:p>
      <w:r>
        <w:t>&lt;!---- table name="titul_o" desc="2.1 Титульний аркуш Повідомлення" ----&gt;</w:t>
      </w:r>
    </w:p>
  </w:comment>
  <w:comment w:id="2" w:author="" w:date="2019-07-18T12:26:50Z" w:initials="">
    <w:p>
      <w:r>
        <w:t>&lt;!---- end table ----&gt;</w:t>
      </w:r>
    </w:p>
  </w:comment>
  <w:comment w:id="3" w:author="" w:date="2019-07-18T12:26:50Z" w:initials="">
    <w:p>
      <w:r>
        <w:t>&lt;!--[if mso]&gt; &lt;br clear=all style="page-break-before:always;mso-break-type:section-break"&gt; &lt;![endif]--&gt;</w:t>
      </w:r>
    </w:p>
  </w:comment>
  <w:comment w:id="4" w:author="" w:date="2019-07-18T12:26:50Z" w:initials="">
    <w:p>
      <w:r>
        <w:t>&lt;!---- table name="rozm_cp" desc="2.2.</w:t>
        <w:tab/>
        <w:t>Відомості про прийняття рішення про розміщення цінних паперів на суму, що перевищує 25 відсотків статутного капіталу" ----&gt;</w:t>
      </w:r>
    </w:p>
  </w:comment>
  <w:comment w:id="5" w:author="" w:date="2019-07-18T12:26:50Z" w:initials="">
    <w:p>
      <w:r>
        <w:t>&lt;!---- table name="vikup_o" desc="2.3.</w:t>
        <w:tab/>
        <w:t>Відомості про прийняття рішення про викуп власних акцій, крім акцій корпоративних інвестиційних фондів інтервального та відкритого типу" ----&gt;</w:t>
      </w:r>
    </w:p>
  </w:comment>
  <w:comment w:id="6" w:author="" w:date="2019-07-18T12:26:50Z" w:initials="">
    <w:p>
      <w:r>
        <w:t>&lt;!---- table name="holdagr" desc="2.4 Відомості про наявність, строк дії та сторони акціонерного договору" ----&gt;</w:t>
      </w:r>
    </w:p>
  </w:comment>
  <w:comment w:id="7" w:author="" w:date="2019-07-18T12:26:50Z" w:initials="">
    <w:p>
      <w:r>
        <w:t>&lt;!---- table name="list_cp" desc="2.5.</w:t>
        <w:tab/>
        <w:t>Відомості про факти включення/виключення цінних паперів до біржового реєстру фондової біржі" ----&gt;</w:t>
      </w:r>
    </w:p>
  </w:comment>
  <w:comment w:id="8" w:author="" w:date="2019-07-18T12:26:50Z" w:initials="">
    <w:p>
      <w:r>
        <w:t>&lt;!---- table name="person_o" desc="2.6 Відомості про зміну складу посадових осіб емітента" ----&gt;</w:t>
      </w:r>
    </w:p>
  </w:comment>
  <w:comment w:id="9" w:author="" w:date="2019-07-18T12:26:50Z" w:initials="">
    <w:p>
      <w:r>
        <w:t>&lt;!---- table name="filia" desc="2.7 Відомості про рішення емітента про утворення, припинення його філій, представництв" ----&gt;</w:t>
      </w:r>
    </w:p>
  </w:comment>
  <w:comment w:id="10" w:author="" w:date="2019-07-18T12:26:50Z" w:initials="">
    <w:p>
      <w:r>
        <w:t>&lt;!---- table name="zmen_sk" desc="2.8 Відомості про рішення вищого органу емітента про зменшення статутного капіталу" ----&gt;</w:t>
      </w:r>
    </w:p>
  </w:comment>
  <w:comment w:id="11" w:author="" w:date="2019-07-18T12:26:50Z" w:initials="">
    <w:p>
      <w:r>
        <w:t>&lt;!---- table name="bankr_o" desc="2.9 Відомості про порушення справи про банкрутство емітента" ----&gt;</w:t>
      </w:r>
    </w:p>
  </w:comment>
  <w:comment w:id="12" w:author="" w:date="2019-07-18T12:26:50Z" w:initials="">
    <w:p>
      <w:r>
        <w:t>&lt;!---- table name="sanacia" desc="2.10 Відомості про винесення ухвали про санацію емітента" ----&gt;</w:t>
      </w:r>
    </w:p>
  </w:comment>
  <w:comment w:id="13" w:author="" w:date="2019-07-18T12:26:50Z" w:initials="">
    <w:p>
      <w:r>
        <w:t>&lt;!---- table name="zlyttya" desc="2.11 Відомості про припинення емітента шляхом злиття, приєднання, поділу, перетворення або банкрутства за рішенням вищого органу емітента або суду" ----&gt;</w:t>
      </w:r>
    </w:p>
  </w:comment>
  <w:comment w:id="14" w:author="" w:date="2019-07-18T12:26:50Z" w:initials="">
    <w:p>
      <w:r>
        <w:t>&lt;!---- table name="likv_voe" desc="2.12 Відомості про припинення емітента шляхом ліквідації за рішенням вищого органу емітента" ----&gt;</w:t>
      </w:r>
    </w:p>
  </w:comment>
  <w:comment w:id="15" w:author="" w:date="2019-07-18T12:26:50Z" w:initials="">
    <w:p>
      <w:r>
        <w:t>&lt;!---- table name="likv_sud" desc="2.13 Відомості про припинення емітента шляхом ліквідації за рішенням суду" ----&gt;</w:t>
      </w:r>
    </w:p>
  </w:comment>
  <w:comment w:id="16" w:author="" w:date="2019-07-18T12:26:50Z" w:initials="">
    <w:p>
      <w:r>
        <w:t>&lt;!---- table name="vykupos" desc="2.14.</w:t>
        <w:tab/>
        <w:t>Повідомлення про викуп акцій понад порогові значення пакета акцій" ----&gt;</w:t>
      </w:r>
    </w:p>
  </w:comment>
  <w:comment w:id="17" w:author="" w:date="2019-07-18T12:26:50Z" w:initials="">
    <w:p>
      <w:r>
        <w:t>&lt;!---- table name="chartch" desc="2.15.</w:t>
        <w:tab/>
        <w:t>Відомості про зміни до статуту, пов’язані зі зміною прав акціонерів" ----&gt;</w:t>
      </w:r>
    </w:p>
  </w:comment>
  <w:comment w:id="18" w:author="" w:date="2019-07-18T12:26:50Z" w:initials="">
    <w:p>
      <w:r>
        <w:t>&lt;!---- table name="fundch" desc="2.16</w:t>
        <w:tab/>
        <w:t>Відомості про кількість голосуючих акцій та розмір статутного капіталу за результатами його збільшення або зменшення" ----&gt;</w:t>
      </w:r>
    </w:p>
  </w:comment>
  <w:comment w:id="19" w:author="" w:date="2019-07-18T12:26:50Z" w:initials="">
    <w:p>
      <w:r>
        <w:t>&lt;!---- table name="jsctyp_o" desc="2.17 Відомості про зміну типу акціонерного товариства" ----&gt;</w:t>
      </w:r>
    </w:p>
  </w:comment>
  <w:comment w:id="20" w:author="" w:date="2019-07-18T12:26:50Z" w:initials="">
    <w:p>
      <w:r>
        <w:t>&lt;!---- table name="chartbo" desc="2.18.</w:t>
        <w:tab/>
        <w:t>Відомості про зміни до статуту приватного акціонерного товариства, пов’язані із переважним правом акціонерів на придбання акцій цього товариства" ----&gt;</w:t>
      </w:r>
    </w:p>
  </w:comment>
  <w:comment w:id="21" w:author="" w:date="2019-07-18T12:26:50Z" w:initials="">
    <w:p>
      <w:r>
        <w:t>&lt;!---- table name="zam_rip" desc="2.19 Відомості про заміни у реєстрі іпотечного покриття або реєстрі забезпечення іпотечних сертифікатів за кожним консолідованим іпотечним боргом*" ----&gt;</w:t>
      </w:r>
    </w:p>
  </w:comment>
  <w:comment w:id="22" w:author="" w:date="2019-07-18T12:26:50Z" w:initials="">
    <w:p>
      <w:r>
        <w:t>&lt;!---- table name="zam_uip" desc="2.20 Відомості про заміну управителя іпотечного покриття, управителя іпотечних активів" ----&gt;</w:t>
      </w:r>
    </w:p>
  </w:comment>
  <w:comment w:id="23" w:author="" w:date="2019-07-18T12:26:50Z" w:initials="">
    <w:p>
      <w:r>
        <w:t>&lt;!---- table name="pog_io" desc="2.21 Відомості про дострокове погашення іпотечних облігацій" ----&gt;</w:t>
      </w:r>
    </w:p>
  </w:comment>
  <w:comment w:id="24" w:author="" w:date="2019-07-18T12:26:50Z" w:initials="">
    <w:p>
      <w:r>
        <w:t>&lt;!---- table name="zm_pre" desc="2.22 Відомості про внесення змін до проспекту емісії іпотечних цінних паперів" ----&gt;</w:t>
      </w:r>
    </w:p>
  </w:comment>
  <w:comment w:id="25" w:author="" w:date="2019-07-18T12:26:50Z" w:initials="">
    <w:p>
      <w:r>
        <w:t>&lt;!---- table name="ufon_sud" desc="2.23 Відомості про заміну управителя ФОН за рішенням суду" ----&gt;</w:t>
      </w:r>
    </w:p>
  </w:comment>
  <w:comment w:id="26" w:author="" w:date="2019-07-18T12:26:50Z" w:initials="">
    <w:p>
      <w:r>
        <w:t>&lt;!---- table name="ufon_pr" desc="2.24 Відомості про заміну управителя ФОН у разі припинення управителя ФОН" ----&gt;</w:t>
      </w:r>
    </w:p>
  </w:comment>
  <w:comment w:id="27" w:author="" w:date="2019-07-18T12:26:50Z" w:initials="">
    <w:p>
      <w:r>
        <w:t>&lt;!---- table name="pryp_fon" desc="2.25 Відомості про припинення функціонування ФОН" ----&gt;</w:t>
      </w:r>
    </w:p>
  </w:comment>
  <w:comment w:id="28" w:author="" w:date="2019-07-18T12:26:50Z" w:initials="">
    <w:p>
      <w:r>
        <w:t>&lt;!---- table name="trans_ia" desc="2.26 Відомості про трансформацію (перетворення) іпотечних активів, які забезпечують виконання зобов'язань за розміщеними іпотечними сертифікатами" ----&gt;</w:t>
      </w:r>
    </w:p>
  </w:comment>
  <w:comment w:id="29" w:author="" w:date="2019-07-18T12:26:50Z" w:initials="">
    <w:p>
      <w:r>
        <w:t>&lt;!---- table name="zam_ofu" desc="2.27 Відомості про заміну фінансової установи, яка обслуговує іпотечні активи у складі іпотечного покриття" ----&gt;</w:t>
      </w:r>
    </w:p>
  </w:comment>
  <w:comment w:id="30" w:author="" w:date="2019-07-18T12:26:50Z" w:initials="">
    <w:p>
      <w:r>
        <w:t>&lt;!---- table name="zv_sip" desc="2.28 Відомості про звернення стягнення на іпотечне покриття" ----&gt;</w:t>
      </w:r>
    </w:p>
  </w:comment>
  <w:comment w:id="31" w:author="" w:date="2019-07-18T12:26:50Z" w:initials="">
    <w:p>
      <w:r>
        <w:t>&lt;!---- table name="konv_is" desc="2.29 Відомості про конвертацію іпотечних сертифікатів або сертифікатів ФОН" ----&gt;</w:t>
      </w:r>
    </w:p>
  </w:comment>
  <w:comment w:id="32" w:author="" w:date="2019-07-18T12:26:50Z" w:initials="">
    <w:p>
      <w:r>
        <w:t>&lt;!---- table name="pryz_dog" desc="2.30 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ФОН" ----&gt;</w:t>
      </w:r>
    </w:p>
  </w:comment>
  <w:comment w:id="33" w:author="" w:date="2019-07-18T12:26:50Z" w:initials="">
    <w:p>
      <w:r>
        <w:t>&lt;!---- table name="vlasn_tpr" desc="2.31.</w:t>
        <w:tab/>
        <w:t>Відомості про зміну акціонерів, яким належать голосуючі акції, розмір пакета яких стає більшим, меншим або рівним пороговому значенню пакета акцій" ----&gt;</w:t>
      </w:r>
    </w:p>
  </w:comment>
  <w:comment w:id="34" w:author="" w:date="2019-07-18T12:26:50Z" w:initials="">
    <w:p>
      <w:r>
        <w:t>&lt;!---- table name="vlasn" desc="2.34.</w:t>
        <w:tab/>
        <w:t>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особам: контрольного пакета у розмірі 50 і більше відсотків простих акцій акціонерного товариства; значного контрольного пакета у розмірі 75 і більше відсотків простих акцій публічного акціонерного товариства; домінуючого контрольного пакета у розмірі 95 і більше відсотків простих акцій акціонерного товариства" ----&gt;</w:t>
      </w:r>
    </w:p>
  </w:comment>
  <w:comment w:id="35" w:author="" w:date="2019-07-18T12:26:50Z" w:initials="">
    <w:p>
      <w:r>
        <w:t>&lt;!---- table name="deal_ba" desc="2.35 Відомості про прийняття рішення про попереднє надання згоди на вчинення значних правочинів" ----&gt;</w:t>
      </w:r>
    </w:p>
  </w:comment>
  <w:comment w:id="36" w:author="" w:date="2019-07-18T12:26:50Z" w:initials="">
    <w:p>
      <w:r>
        <w:t>&lt;!---- table name="deal_bc" desc="2.36 Відомості про прийняття рішення про надання згоди на вчинення значних правочинів" ----&gt;</w:t>
      </w:r>
    </w:p>
  </w:comment>
  <w:comment w:id="37" w:author="" w:date="2019-07-18T12:26:50Z" w:initials="">
    <w:p>
      <w:r>
        <w:t>&lt;!---- table name="deal_wi" desc="2.37 Відомості  про  прийняття  рішення  про  надання  згоди  на  вчинення правочинів, щодо вчинення яких є заінтересованість" ----&gt;</w:t>
      </w:r>
    </w:p>
  </w:comment>
  <w:comment w:id="38" w:author="" w:date="2019-07-18T12:26:50Z" w:initials="">
    <w:p>
      <w:r>
        <w:t>&lt;!---- table name="dmgsproc" desc="2.38 Відомості про порушення провадження у справі про відшкодування емітенту збитків, завданих посадовою особою такого емітента" ----&gt;</w:t>
      </w:r>
    </w:p>
  </w:comment>
  <w:comment w:id="39" w:author="" w:date="2019-07-18T12:26:50Z" w:initials="">
    <w:p>
      <w:r>
        <w:t>&lt;!---- table name="debtguar" desc="2.39 Відомості  про  заміну поручителя (страховика,  гаранта),  що здійснює забезпечення випуску боргових цінних паперів" ----&gt;</w:t>
      </w:r>
    </w:p>
  </w:comment>
  <w:comment w:id="40" w:author="" w:date="2019-07-18T12:26:50Z" w:initials="">
    <w:p>
      <w:r>
        <w:t>&lt;!---- table name="divpaydc" desc="2.40 Відомості про прийняття рішення про виплату дивідендів" ----&gt;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000000"/>
      <w:sz w:val="24"/>
      <w:szCs w:val="24"/>
      <w:lang w:val="uk-UA" w:eastAsia="zh-CN" w:bidi="hi-IN"/>
    </w:rPr>
  </w:style>
  <w:style w:type="paragraph" w:styleId="3">
    <w:name w:val="Heading 3"/>
    <w:basedOn w:val="Style12"/>
    <w:next w:val="Style13"/>
    <w:qFormat/>
    <w:pPr>
      <w:spacing w:before="140" w:after="300"/>
      <w:jc w:val="center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225"/>
      <w:jc w:val="center"/>
      <w:outlineLvl w:val="3"/>
    </w:pPr>
    <w:rPr>
      <w:rFonts w:ascii="Liberation Serif" w:hAnsi="Liberation Serif" w:eastAsia="NSimSun" w:cs="Mangal"/>
      <w:b/>
      <w:bCs/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  <w:jc w:val="center"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3</Pages>
  <Words>681</Words>
  <Characters>4485</Characters>
  <CharactersWithSpaces>5116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